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people places things matthew deep dive</w:t>
      </w: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People, Places, and Things in the Gospel of Matthew — Deep Dive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Gospel of Matthew presents Jesus as the promised Messiah and King, writing especially to a Jewish audience and emphasizing fulfillment of prophecy and the arrival of the Kingdom of Heaven.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Below is a structured deep study of </w:t>
      </w:r>
      <w:r>
        <w:rPr>
          <w:rStyle w:val="STRONG"/>
        </w:rPr>
        <w:t xml:space="preserve">People, Places, and Things</w:t>
      </w:r>
      <w:r>
        <w:t xml:space="preserve">, including narrative purpose and theological meaning.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PEOPLE IN MATTHEW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1. Jesus Christ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Titles: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Son of David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Son of Abraham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Son of Man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Son of God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King of the Jews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Emmanuel (“God with us”)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Matthew presents Jesus as: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The New Moses (Sermon on the Mount)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The Greater David (royal lineage)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The Suffering Servant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before="134" w:after="134"/>
        <w:ind w:left="360" w:hanging="260"/>
      </w:pPr>
      <w:r>
        <w:t xml:space="preserve">The Risen King (28:18–20)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Theme:</w:t>
      </w:r>
      <w:r>
        <w:t xml:space="preserve"> All authority in heaven and earth.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��‍��‍�� 2. Joseph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Receives divine dreams.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Protects Mary and Jesus.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Obedient and righteous.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Represents covenant faithfulness.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3. Mary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Virgin mother.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Fulfills Isaiah 7:14.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Quiet but pivotal in salvation history.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4. Herod the Great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Herod the Great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Orders massacre of infants (Matt 2).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Symbolizes worldly power threatened by divine kingship.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5. The Magi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Gentile worshipers from the East.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Bring gold, frankincense, myrrh.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Recognize the King before Israel’s leaders.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rPr>
          <w:rStyle w:val="STRONG"/>
        </w:rPr>
        <w:t xml:space="preserve">Theme:</w:t>
      </w:r>
      <w:r>
        <w:t xml:space="preserve"> Kingdom inclusion of Gentiles.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6. John the Baptist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Prepares the way.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Calls for repentance.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Baptizes Jesus.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Bridges Old Covenant prophecy and New Covenant fulfillment.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7. The Twelve Disciples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Key figures: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Peter (confession of Christ)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James &amp; John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Matthew (tax collector)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Judas Iscariot (betrayer)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They move from confusion → mission → global commission.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8. Religious Leaders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Pharisees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Legalists focused on outward righteousness.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Scribes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Experts in Mosaic Law.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Sadducees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Temple elites denying resurrection.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Caiaphas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Caiaphas</w:t>
        <w:br w:type="textWrapping"/>
      </w:r>
      <w:r>
        <w:t xml:space="preserve">Leads prosecution of Jesus.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rPr>
          <w:rStyle w:val="STRONG"/>
        </w:rPr>
        <w:t xml:space="preserve">Theme:</w:t>
      </w:r>
      <w:r>
        <w:t xml:space="preserve"> Religious resistance to true righteousness.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9. Political Authorities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Herod Antipas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Herod Antipas</w:t>
        <w:br w:type="textWrapping"/>
      </w:r>
      <w:r>
        <w:t xml:space="preserve">Executes John the Baptist.</w:t>
      </w:r>
    </w:p>
    <w:p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Pontius Pilate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Pontius Pilate</w:t>
        <w:br w:type="textWrapping"/>
      </w:r>
      <w:r>
        <w:t xml:space="preserve">Declares Jesus innocent yet orders crucifixion.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10. Women of Faith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Canaanite woman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Woman with issue of blood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Mary Magdalene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Often display stronger faith than male disciples.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11. The Crowds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Amazed but inconsistent.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Represent mixed responses to the Kingdom.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PLACES IN MATTHEW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1. Bethlehem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Birthplace of Jesus.</w:t>
        <w:br w:type="textWrapping"/>
      </w:r>
      <w:r>
        <w:t xml:space="preserve">Fulfills Micah 5:2.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2. Nazareth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Childhood home of Jesus.</w:t>
        <w:br w:type="textWrapping"/>
      </w:r>
      <w:r>
        <w:t xml:space="preserve">“Can anything good come from Nazareth?” (later echoed in John).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3. Sea of Galilee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Teaching and miracle hub.</w:t>
        <w:br w:type="textWrapping"/>
      </w:r>
      <w:r>
        <w:t xml:space="preserve">Calling of disciples.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4. The Mount (Sermon on the Mount)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Symbolically parallels Sinai.</w:t>
        <w:br w:type="textWrapping"/>
      </w:r>
      <w:r>
        <w:t xml:space="preserve">Jesus authoritatively interprets the Law.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5. The Temple in Jerusalem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Center of Jewish worship.</w:t>
        <w:br w:type="textWrapping"/>
      </w:r>
      <w:r>
        <w:t xml:space="preserve">Cleansed by Jesus (Matt 21).</w:t>
        <w:br w:type="textWrapping"/>
      </w:r>
      <w:r>
        <w:t xml:space="preserve">Location of final confrontations.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6. Jerusalem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City of the Great King.</w:t>
        <w:br w:type="textWrapping"/>
      </w:r>
      <w:r>
        <w:t xml:space="preserve">Place of triumphal entry, crucifixion, resurrection.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7. Wilderness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Temptation of Jesus.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Echo of Israel’s 40 years.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8. Caesarea Philippi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Confession of Peter (“You are the Christ.”)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THINGS IN MATTHEW</w:t>
      </w: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1. The Kingdom of Heaven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Matthew’s preferred phrase (used ~32 times).</w:t>
        <w:br w:type="textWrapping"/>
      </w:r>
      <w:r>
        <w:t xml:space="preserve">Central theme of the book.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2. Fulfillment Formula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“Thus it was fulfilled…”</w:t>
        <w:br w:type="textWrapping"/>
      </w:r>
      <w:r>
        <w:t xml:space="preserve">Links Jesus to Old Testament prophecy.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3. Thirty Pieces of Silver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Price of betrayal.</w:t>
        <w:br w:type="textWrapping"/>
      </w:r>
      <w:r>
        <w:t xml:space="preserve">Fulfills Zechariah imagery.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✝️ 4. The Cross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Instrument of Roman execution.</w:t>
        <w:br w:type="textWrapping"/>
      </w:r>
      <w:r>
        <w:t xml:space="preserve">Becomes symbol of atonement and kingship.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5. The Tomb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Sealed and guarded.</w:t>
        <w:br w:type="textWrapping"/>
      </w:r>
      <w:r>
        <w:t xml:space="preserve">Empty on third day.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6. Baptism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Heavens open.</w:t>
        <w:br w:type="textWrapping"/>
      </w:r>
      <w:r>
        <w:t xml:space="preserve">Spirit descends like a dove.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7. Loaves and Fish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Miracles of multiplication.</w:t>
        <w:br w:type="textWrapping"/>
      </w:r>
      <w:r>
        <w:t xml:space="preserve">Echo manna and Elisha narratives.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8. Fig Tree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Cursed by Jesus.</w:t>
        <w:br w:type="textWrapping"/>
      </w:r>
      <w:r>
        <w:t xml:space="preserve">Symbol of fruitless Israel.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9. Parables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Kingdom teaching method: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Sower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Mustard seed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Wheat and tares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Talents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Reveal truth to believers; conceal from hardened hearts.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Structural Overview</w:t>
      </w: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880"/>
      </w:tblGrid>
      <w:tr>
        <w:trPr>
          <w:tblHeader/>
        </w:trPr>
        <w:tc>
          <w:tcPr>
            <w:tcW w:w="2520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Section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Focus</w:t>
            </w:r>
          </w:p>
        </w:tc>
      </w:tr>
      <w:tr>
        <w:tc>
          <w:tcPr>
            <w:tcW w:w="252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Matthew 1–2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Birth &amp; Kingship</w:t>
            </w:r>
          </w:p>
        </w:tc>
      </w:tr>
      <w:tr>
        <w:tc>
          <w:tcPr>
            <w:tcW w:w="252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Matthew 3–4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Preparation &amp; Temptation</w:t>
            </w:r>
          </w:p>
        </w:tc>
      </w:tr>
      <w:tr>
        <w:tc>
          <w:tcPr>
            <w:tcW w:w="252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Matthew 5–7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Kingdom Ethics</w:t>
            </w:r>
          </w:p>
        </w:tc>
      </w:tr>
      <w:tr>
        <w:tc>
          <w:tcPr>
            <w:tcW w:w="252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Matthew 8–10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Authority &amp; Mission</w:t>
            </w:r>
          </w:p>
        </w:tc>
      </w:tr>
      <w:tr>
        <w:tc>
          <w:tcPr>
            <w:tcW w:w="252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Matthew 11–13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Rejection &amp; Parables</w:t>
            </w:r>
          </w:p>
        </w:tc>
      </w:tr>
      <w:tr>
        <w:tc>
          <w:tcPr>
            <w:tcW w:w="252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Matthew 14–20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Identity &amp; Discipleship</w:t>
            </w:r>
          </w:p>
        </w:tc>
      </w:tr>
      <w:tr>
        <w:tc>
          <w:tcPr>
            <w:tcW w:w="252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Matthew 21–25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Conflict &amp; Judgment</w:t>
            </w:r>
          </w:p>
        </w:tc>
      </w:tr>
      <w:tr>
        <w:tc>
          <w:tcPr>
            <w:tcW w:w="252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Matthew 26–28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Passion &amp; Resurrection</w:t>
            </w:r>
          </w:p>
        </w:tc>
      </w:tr>
    </w:tbl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✝️ Major Theological Threads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Jesus as the New Moses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True righteousness vs. hypocrisy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Kingdom reversal (last → first)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Authority over nature, demons, sin, death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Global mission (28:19–20)</w:t>
      </w:r>
    </w:p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</w:p>
    <w:p>
      <w:pPr>
        <w:pStyle w:val="H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�� Summary Table</w:t>
      </w: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3230"/>
      </w:tblGrid>
      <w:tr>
        <w:trPr>
          <w:tblHeader/>
        </w:trPr>
        <w:tc>
          <w:tcPr>
            <w:tcW w:w="1039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Category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pStyle w:val="TH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Central Emphasis</w:t>
            </w:r>
          </w:p>
        </w:tc>
      </w:tr>
      <w:tr>
        <w:tc>
          <w:tcPr>
            <w:tcW w:w="103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People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Responses to the King</w:t>
            </w:r>
          </w:p>
        </w:tc>
      </w:tr>
      <w:tr>
        <w:tc>
          <w:tcPr>
            <w:tcW w:w="103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Places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From Bethlehem to Jerusalem</w:t>
            </w:r>
          </w:p>
        </w:tc>
      </w:tr>
      <w:tr>
        <w:tc>
          <w:tcPr>
            <w:tcW w:w="1039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Things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</w:pPr>
            <w:r>
              <w:t xml:space="preserve">Kingdom, Cross, Fulfillment</w:t>
            </w:r>
          </w:p>
        </w:tc>
      </w:tr>
    </w:tbl>
    <w:p>
      <w:pPr>
        <w:pStyle w:val="BODY"/>
        <w:pBdr>
          <w:top w:val="none"/>
          <w:left w:val="none"/>
          <w:bottom w:val="single" w:sz="5" w:space="0" w:color="000000"/>
          <w:right w:val="none"/>
          <w:between w:val="single" w:sz="5" w:space="0" w:color="000000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200" w:after="200"/>
        <w:jc w:val="center"/>
      </w:pPr>
      <w:r>
        <w:t xml:space="preserve">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</w:pPr>
      <w:r>
        <w:t xml:space="preserve">If you'd like, I can next provide: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Chapter-by-chapter people, places, things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Genealogy deep analysis (Matthew 1)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 printable teaching outline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Comparison with Mark and Luke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ind w:left="360" w:hanging="260"/>
      </w:pPr>
      <w:r>
        <w:t xml:space="preserve">A sermon series framework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134" w:after="134"/>
      </w:pPr>
      <w:r>
        <w:t xml:space="preserve">Just tell me how deep you want to go next.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</w:pPr>
    </w:p>
    <w:sectPr>
      <w:pgSz w:w="12240" w:h="15840"/>
      <w:pgMar w:top="1440" w:right="720" w:bottom="1440" w:left="72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Ariall">
    <w:charset w:val="00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space"/>
      <w:lvlText w:val="•"/>
      <w:pPr>
        <w:ind w:left="360" w:hanging="260"/>
      </w:pPr>
      <w:rPr>
        <w:rFonts w:hint="default" w:ascii="Ariall" w:hAnsi="Ariall" w:eastAsia="Ariall" w:cs="Arial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decimal"/>
      <w:suff w:val="space"/>
      <w:lvlText w:val="%1."/>
      <w:pPr>
        <w:ind w:left="360" w:hanging="260"/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0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/>
  </w:style>
  <w:style w:type="paragraph" w:styleId="H1">
    <w:name w:val="H1"/>
    <w:basedOn w:val="BODY"/>
    <w:next w:val="H1"/>
    <w:qFormat/>
    <w:pPr>
      <w:spacing w:before="160" w:after="320"/>
    </w:pPr>
    <w:rPr>
      <w:b/>
      <w:bCs/>
      <w:sz w:val="48"/>
      <w:szCs w:val="48"/>
    </w:rPr>
  </w:style>
  <w:style w:type="paragraph" w:styleId="H2">
    <w:name w:val="H2"/>
    <w:basedOn w:val="BODY"/>
    <w:next w:val="H2"/>
    <w:qFormat/>
    <w:pPr>
      <w:spacing w:before="120" w:after="240"/>
    </w:pPr>
    <w:rPr>
      <w:b/>
      <w:bCs/>
      <w:sz w:val="36"/>
      <w:szCs w:val="36"/>
    </w:rPr>
  </w:style>
  <w:style w:type="paragraph" w:styleId="H3">
    <w:name w:val="H3"/>
    <w:basedOn w:val="BODY"/>
    <w:next w:val="H3"/>
    <w:qFormat/>
    <w:pPr>
      <w:spacing w:before="93" w:after="186"/>
    </w:pPr>
    <w:rPr>
      <w:b/>
      <w:bCs/>
      <w:sz w:val="28"/>
      <w:szCs w:val="28"/>
    </w:rPr>
  </w:style>
  <w:style w:type="character" w:styleId="STRONG">
    <w:name w:val="STRONG"/>
    <w:qFormat/>
    <w:rPr>
      <w:b/>
      <w:bCs/>
      <w:rtl w:val="off"/>
      <w:lang w:val="x-none" w:eastAsia="x-none" w:bidi="x-none"/>
    </w:rPr>
  </w:style>
  <w:style w:type="paragraph" w:styleId="TH">
    <w:name w:val="TH"/>
    <w:basedOn w:val="[Normal]"/>
    <w:next w:val="TH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numbering" Target="numbering.xml"/>
	<Relationship Id="rId00004" Type="http://schemas.openxmlformats.org/officeDocument/2006/relationships/fontTable" Target="fontTable.xml"/>
	<Relationship Id="rId00005" Type="http://schemas.openxmlformats.org/officeDocument/2006/relationships/settings" Target="settings.xml"/>
</Relationships>
</file>