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spacing w:before="100" w:after="100"/>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Savoy Declaration - by Dr. John Owen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 addendum to the Westminster Confession made by John Owen.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 between this confession (or declaration) and the Westminster Confession is this chapter. There are some other small revisions, but this is the major change. This chapter does not appear in the Westminster Confession.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20</w:t>
        <w:br w:type="textWrapping"/>
      </w:r>
      <w:r>
        <w:rPr>
          <w:rFonts w:ascii="Times New Roman" w:hAnsi="Times New Roman" w:eastAsia="Times New Roman" w:cs="Times New Roman"/>
          <w:b/>
          <w:lang w:val="en-US" w:eastAsia="en-US" w:bidi="en-US"/>
        </w:rPr>
        <w:t xml:space="preserve">Of the Gospel, and of the Extent of the Grace Thereof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The covenant of works being broken by sin, and made unprofitable unto life, God was pleased to give unto the elect the promise of Christ, the seed of the woman, as the means of calling them, and begetting in them faith and repentance: in this promise the gospel, as to the substance of it, was revealed, and was therein effectual for the conversion and salvation of sinners.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promise of Christ, and salvation by him, is revealed only in and by the Word of God; neither do the works of creation or providence, with the light of nature, make discovery of Christ, or of grace by him, so much as in a general or obscure way; much less that men destitute of the revelation of him by the promise or gospel, should be enabled thereby to attain saving faith or repentance.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revelation of the gospel unto sinners, made in divers times, and by sundry parts, with the addition of promises and precepts for the obedience required therein, as to the nations and persons to whom it is granted, is merely of the sovereign will and good pleasure of God, not being annexed by virtue of any promise to the due improvement of men’s natural abilities, by virtue of common light received without it, which none ever did make or can so do. And therefore in all ages the preaching of the gospel hath been granted unto persons and nations, as to the extent or straitening of it, in great variety, according to the counsel of the will of God.</w:t>
      </w:r>
    </w:p>
    <w:p>
      <w:pPr>
        <w:pStyle w:val="[Normal]"/>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4. Although the gospel be the only outward means of revealing Christ and saving grace, and is as such abundantly sufficient thereunto; yet that men who are dead in trespasses, may be born again, quickened or regenerated, there is moreover necessary an effectual, irresistible work of the Holy Ghost upon the whole soul, for the producing in them a new spiritual life, without which no other means are sufficient for their conversion unto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